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66"/>
        <w:gridCol w:w="972"/>
        <w:gridCol w:w="1118"/>
        <w:gridCol w:w="1260"/>
        <w:gridCol w:w="692"/>
        <w:gridCol w:w="61"/>
        <w:gridCol w:w="693"/>
        <w:gridCol w:w="1199"/>
      </w:tblGrid>
      <w:tr>
        <w:trPr>
          <w:trHeight w:val="785" w:hRule="exact"/>
        </w:trPr>
        <w:tc>
          <w:tcPr>
            <w:tcW w:w="3666" w:type="dxa"/>
          </w:tcPr>
          <w:p>
            <w:pPr>
              <w:pStyle w:val="TableParagraph"/>
              <w:spacing w:line="300" w:lineRule="exact" w:before="0"/>
              <w:ind w:left="44"/>
              <w:jc w:val="left"/>
              <w:rPr>
                <w:rFonts w:ascii="Calibri" w:hAnsi="Calibri"/>
                <w:b/>
                <w:i/>
                <w:sz w:val="29"/>
              </w:rPr>
            </w:pPr>
            <w:r>
              <w:rPr>
                <w:rFonts w:ascii="Calibri" w:hAnsi="Calibri"/>
                <w:b/>
                <w:i/>
                <w:sz w:val="29"/>
              </w:rPr>
              <w:t>Pierderi de sarcină 1</w:t>
            </w:r>
          </w:p>
          <w:p>
            <w:pPr>
              <w:pStyle w:val="TableParagraph"/>
              <w:spacing w:before="241"/>
              <w:ind w:left="36"/>
              <w:jc w:val="left"/>
              <w:rPr>
                <w:b/>
                <w:sz w:val="20"/>
              </w:rPr>
            </w:pPr>
            <w:r>
              <w:rPr>
                <w:b/>
                <w:w w:val="105"/>
                <w:sz w:val="20"/>
                <w:u w:val="thick"/>
              </w:rPr>
              <w:t>Date initiale</w:t>
            </w:r>
          </w:p>
        </w:tc>
        <w:tc>
          <w:tcPr>
            <w:tcW w:w="5995" w:type="dxa"/>
            <w:gridSpan w:val="7"/>
          </w:tcPr>
          <w:p>
            <w:pPr/>
          </w:p>
        </w:tc>
      </w:tr>
      <w:tr>
        <w:trPr>
          <w:trHeight w:val="256" w:hRule="exact"/>
        </w:trPr>
        <w:tc>
          <w:tcPr>
            <w:tcW w:w="3666" w:type="dxa"/>
          </w:tcPr>
          <w:p>
            <w:pPr>
              <w:pStyle w:val="TableParagraph"/>
              <w:spacing w:before="12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Debit (Q)</w:t>
            </w:r>
          </w:p>
        </w:tc>
        <w:tc>
          <w:tcPr>
            <w:tcW w:w="972" w:type="dxa"/>
          </w:tcPr>
          <w:p>
            <w:pPr>
              <w:pStyle w:val="TableParagraph"/>
              <w:spacing w:before="12"/>
              <w:ind w:left="28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m3/hr</w:t>
            </w:r>
          </w:p>
        </w:tc>
        <w:tc>
          <w:tcPr>
            <w:tcW w:w="1118" w:type="dxa"/>
          </w:tcPr>
          <w:p>
            <w:pPr>
              <w:pStyle w:val="TableParagraph"/>
              <w:spacing w:before="12"/>
              <w:ind w:left="0" w:right="34"/>
              <w:jc w:val="right"/>
              <w:rPr>
                <w:sz w:val="20"/>
              </w:rPr>
            </w:pPr>
            <w:r>
              <w:rPr>
                <w:sz w:val="20"/>
              </w:rPr>
              <w:t>6.6</w:t>
            </w:r>
          </w:p>
        </w:tc>
        <w:tc>
          <w:tcPr>
            <w:tcW w:w="1952" w:type="dxa"/>
            <w:gridSpan w:val="2"/>
          </w:tcPr>
          <w:p>
            <w:pPr>
              <w:pStyle w:val="TableParagraph"/>
              <w:spacing w:before="12"/>
              <w:ind w:left="474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0.00183 m3/s</w:t>
            </w:r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1199" w:type="dxa"/>
          </w:tcPr>
          <w:p>
            <w:pPr/>
          </w:p>
        </w:tc>
      </w:tr>
      <w:tr>
        <w:trPr>
          <w:trHeight w:val="249" w:hRule="exact"/>
        </w:trPr>
        <w:tc>
          <w:tcPr>
            <w:tcW w:w="3666" w:type="dxa"/>
          </w:tcPr>
          <w:p>
            <w:pPr>
              <w:pStyle w:val="TableParagraph"/>
              <w:spacing w:before="12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Diametru Interior (D)</w:t>
            </w:r>
          </w:p>
        </w:tc>
        <w:tc>
          <w:tcPr>
            <w:tcW w:w="972" w:type="dxa"/>
          </w:tcPr>
          <w:p>
            <w:pPr>
              <w:pStyle w:val="TableParagraph"/>
              <w:spacing w:before="12"/>
              <w:ind w:left="28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mm</w:t>
            </w:r>
          </w:p>
        </w:tc>
        <w:tc>
          <w:tcPr>
            <w:tcW w:w="1118" w:type="dxa"/>
          </w:tcPr>
          <w:p>
            <w:pPr>
              <w:pStyle w:val="TableParagraph"/>
              <w:spacing w:before="12"/>
              <w:ind w:left="0" w:right="34"/>
              <w:jc w:val="right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952" w:type="dxa"/>
            <w:gridSpan w:val="2"/>
          </w:tcPr>
          <w:p>
            <w:pPr>
              <w:pStyle w:val="TableParagraph"/>
              <w:spacing w:before="12"/>
              <w:ind w:left="704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0.025 m</w:t>
            </w:r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1199" w:type="dxa"/>
          </w:tcPr>
          <w:p>
            <w:pPr/>
          </w:p>
        </w:tc>
      </w:tr>
      <w:tr>
        <w:trPr>
          <w:trHeight w:val="261" w:hRule="exact"/>
        </w:trPr>
        <w:tc>
          <w:tcPr>
            <w:tcW w:w="3666" w:type="dxa"/>
          </w:tcPr>
          <w:p>
            <w:pPr>
              <w:pStyle w:val="TableParagraph"/>
              <w:spacing w:before="5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Viscozitate Cinematica (</w:t>
            </w:r>
            <w:r>
              <w:rPr>
                <w:rFonts w:ascii="Times New Roman" w:hAnsi="Times New Roman"/>
                <w:w w:val="105"/>
                <w:sz w:val="20"/>
              </w:rPr>
              <w:t>ν</w:t>
            </w:r>
            <w:r>
              <w:rPr>
                <w:w w:val="105"/>
                <w:sz w:val="20"/>
              </w:rPr>
              <w:t>)</w:t>
            </w:r>
          </w:p>
        </w:tc>
        <w:tc>
          <w:tcPr>
            <w:tcW w:w="972" w:type="dxa"/>
          </w:tcPr>
          <w:p>
            <w:pPr>
              <w:pStyle w:val="TableParagraph"/>
              <w:spacing w:before="18"/>
              <w:ind w:left="28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cSt</w:t>
            </w:r>
          </w:p>
        </w:tc>
        <w:tc>
          <w:tcPr>
            <w:tcW w:w="1118" w:type="dxa"/>
          </w:tcPr>
          <w:p>
            <w:pPr>
              <w:pStyle w:val="TableParagraph"/>
              <w:spacing w:before="18"/>
              <w:ind w:left="0" w:right="33"/>
              <w:jc w:val="right"/>
              <w:rPr>
                <w:sz w:val="20"/>
              </w:rPr>
            </w:pPr>
            <w:r>
              <w:rPr>
                <w:sz w:val="20"/>
              </w:rPr>
              <w:t>0.5541</w:t>
            </w:r>
          </w:p>
        </w:tc>
        <w:tc>
          <w:tcPr>
            <w:tcW w:w="1952" w:type="dxa"/>
            <w:gridSpan w:val="2"/>
          </w:tcPr>
          <w:p>
            <w:pPr>
              <w:pStyle w:val="TableParagraph"/>
              <w:spacing w:before="18"/>
              <w:ind w:left="26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5.541E-07 m2/s</w:t>
            </w:r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1199" w:type="dxa"/>
          </w:tcPr>
          <w:p>
            <w:pPr/>
          </w:p>
        </w:tc>
      </w:tr>
      <w:tr>
        <w:trPr>
          <w:trHeight w:val="274" w:hRule="exact"/>
        </w:trPr>
        <w:tc>
          <w:tcPr>
            <w:tcW w:w="3666" w:type="dxa"/>
          </w:tcPr>
          <w:p>
            <w:pPr>
              <w:pStyle w:val="TableParagraph"/>
              <w:spacing w:before="11"/>
              <w:ind w:left="36"/>
              <w:jc w:val="left"/>
              <w:rPr>
                <w:rFonts w:ascii="Times New Roman" w:hAnsi="Times New Roman"/>
                <w:sz w:val="20"/>
              </w:rPr>
            </w:pPr>
            <w:r>
              <w:rPr>
                <w:w w:val="105"/>
                <w:sz w:val="20"/>
              </w:rPr>
              <w:t>Duritate Specifica (</w:t>
            </w:r>
            <w:r>
              <w:rPr>
                <w:rFonts w:ascii="Times New Roman" w:hAnsi="Times New Roman"/>
                <w:w w:val="105"/>
                <w:sz w:val="20"/>
              </w:rPr>
              <w:t>Є)</w:t>
            </w:r>
          </w:p>
        </w:tc>
        <w:tc>
          <w:tcPr>
            <w:tcW w:w="972" w:type="dxa"/>
          </w:tcPr>
          <w:p>
            <w:pPr>
              <w:pStyle w:val="TableParagraph"/>
              <w:spacing w:before="24"/>
              <w:ind w:left="289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m</w:t>
            </w:r>
          </w:p>
        </w:tc>
        <w:tc>
          <w:tcPr>
            <w:tcW w:w="1118" w:type="dxa"/>
          </w:tcPr>
          <w:p>
            <w:pPr>
              <w:pStyle w:val="TableParagraph"/>
              <w:spacing w:before="24"/>
              <w:ind w:left="0" w:right="33"/>
              <w:jc w:val="right"/>
              <w:rPr>
                <w:sz w:val="20"/>
              </w:rPr>
            </w:pPr>
            <w:r>
              <w:rPr>
                <w:sz w:val="20"/>
              </w:rPr>
              <w:t>2.00E-04</w:t>
            </w:r>
          </w:p>
        </w:tc>
        <w:tc>
          <w:tcPr>
            <w:tcW w:w="1952" w:type="dxa"/>
            <w:gridSpan w:val="2"/>
          </w:tcPr>
          <w:p>
            <w:pPr/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1199" w:type="dxa"/>
          </w:tcPr>
          <w:p>
            <w:pPr/>
          </w:p>
        </w:tc>
      </w:tr>
      <w:tr>
        <w:trPr>
          <w:trHeight w:val="390" w:hRule="exact"/>
        </w:trPr>
        <w:tc>
          <w:tcPr>
            <w:tcW w:w="3666" w:type="dxa"/>
          </w:tcPr>
          <w:p>
            <w:pPr>
              <w:pStyle w:val="TableParagraph"/>
              <w:spacing w:before="18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Lungime Tronson (L)</w:t>
            </w:r>
          </w:p>
        </w:tc>
        <w:tc>
          <w:tcPr>
            <w:tcW w:w="972" w:type="dxa"/>
          </w:tcPr>
          <w:p>
            <w:pPr>
              <w:pStyle w:val="TableParagraph"/>
              <w:spacing w:before="18"/>
              <w:ind w:left="289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m</w:t>
            </w:r>
          </w:p>
        </w:tc>
        <w:tc>
          <w:tcPr>
            <w:tcW w:w="1118" w:type="dxa"/>
          </w:tcPr>
          <w:p>
            <w:pPr>
              <w:pStyle w:val="TableParagraph"/>
              <w:spacing w:before="18"/>
              <w:ind w:left="0" w:right="34"/>
              <w:jc w:val="right"/>
              <w:rPr>
                <w:sz w:val="20"/>
              </w:rPr>
            </w:pPr>
            <w:r>
              <w:rPr>
                <w:sz w:val="20"/>
              </w:rPr>
              <w:t>0.45</w:t>
            </w:r>
          </w:p>
        </w:tc>
        <w:tc>
          <w:tcPr>
            <w:tcW w:w="1952" w:type="dxa"/>
            <w:gridSpan w:val="2"/>
          </w:tcPr>
          <w:p>
            <w:pPr/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1199" w:type="dxa"/>
          </w:tcPr>
          <w:p>
            <w:pPr/>
          </w:p>
        </w:tc>
      </w:tr>
      <w:tr>
        <w:trPr>
          <w:trHeight w:val="384" w:hRule="exact"/>
        </w:trPr>
        <w:tc>
          <w:tcPr>
            <w:tcW w:w="3666" w:type="dxa"/>
          </w:tcPr>
          <w:p>
            <w:pPr>
              <w:pStyle w:val="TableParagraph"/>
              <w:spacing w:before="140"/>
              <w:ind w:left="36"/>
              <w:jc w:val="left"/>
              <w:rPr>
                <w:b/>
                <w:sz w:val="20"/>
              </w:rPr>
            </w:pPr>
            <w:r>
              <w:rPr>
                <w:b/>
                <w:w w:val="105"/>
                <w:sz w:val="20"/>
                <w:u w:val="thick"/>
              </w:rPr>
              <w:t>Date Calculate</w:t>
            </w:r>
          </w:p>
        </w:tc>
        <w:tc>
          <w:tcPr>
            <w:tcW w:w="972" w:type="dxa"/>
          </w:tcPr>
          <w:p>
            <w:pPr/>
          </w:p>
        </w:tc>
        <w:tc>
          <w:tcPr>
            <w:tcW w:w="1118" w:type="dxa"/>
          </w:tcPr>
          <w:p>
            <w:pPr/>
          </w:p>
        </w:tc>
        <w:tc>
          <w:tcPr>
            <w:tcW w:w="1952" w:type="dxa"/>
            <w:gridSpan w:val="2"/>
          </w:tcPr>
          <w:p>
            <w:pPr/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1199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666" w:type="dxa"/>
          </w:tcPr>
          <w:p>
            <w:pPr>
              <w:pStyle w:val="TableParagraph"/>
              <w:spacing w:before="12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Viteza medie - V (m/s)</w:t>
            </w:r>
          </w:p>
        </w:tc>
        <w:tc>
          <w:tcPr>
            <w:tcW w:w="972" w:type="dxa"/>
          </w:tcPr>
          <w:p>
            <w:pPr/>
          </w:p>
        </w:tc>
        <w:tc>
          <w:tcPr>
            <w:tcW w:w="1118" w:type="dxa"/>
          </w:tcPr>
          <w:p>
            <w:pPr>
              <w:pStyle w:val="TableParagraph"/>
              <w:spacing w:before="12"/>
              <w:ind w:left="0" w:right="33"/>
              <w:jc w:val="right"/>
              <w:rPr>
                <w:sz w:val="20"/>
              </w:rPr>
            </w:pPr>
            <w:r>
              <w:rPr>
                <w:sz w:val="20"/>
              </w:rPr>
              <w:t>3.73</w:t>
            </w:r>
          </w:p>
        </w:tc>
        <w:tc>
          <w:tcPr>
            <w:tcW w:w="1952" w:type="dxa"/>
            <w:gridSpan w:val="2"/>
          </w:tcPr>
          <w:p>
            <w:pPr/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1199" w:type="dxa"/>
          </w:tcPr>
          <w:p>
            <w:pPr/>
          </w:p>
        </w:tc>
      </w:tr>
      <w:tr>
        <w:trPr>
          <w:trHeight w:val="298" w:hRule="exact"/>
        </w:trPr>
        <w:tc>
          <w:tcPr>
            <w:tcW w:w="3666" w:type="dxa"/>
          </w:tcPr>
          <w:p>
            <w:pPr>
              <w:pStyle w:val="TableParagraph"/>
              <w:spacing w:before="12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Numarul lui Reynolds</w:t>
            </w:r>
          </w:p>
        </w:tc>
        <w:tc>
          <w:tcPr>
            <w:tcW w:w="972" w:type="dxa"/>
          </w:tcPr>
          <w:p>
            <w:pPr/>
          </w:p>
        </w:tc>
        <w:tc>
          <w:tcPr>
            <w:tcW w:w="1118" w:type="dxa"/>
          </w:tcPr>
          <w:p>
            <w:pPr>
              <w:pStyle w:val="TableParagraph"/>
              <w:spacing w:before="12"/>
              <w:ind w:left="0" w:right="34"/>
              <w:jc w:val="right"/>
              <w:rPr>
                <w:sz w:val="20"/>
              </w:rPr>
            </w:pPr>
            <w:r>
              <w:rPr>
                <w:sz w:val="20"/>
              </w:rPr>
              <w:t>168509</w:t>
            </w:r>
          </w:p>
        </w:tc>
        <w:tc>
          <w:tcPr>
            <w:tcW w:w="1952" w:type="dxa"/>
            <w:gridSpan w:val="2"/>
          </w:tcPr>
          <w:p>
            <w:pPr/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1199" w:type="dxa"/>
          </w:tcPr>
          <w:p>
            <w:pPr/>
          </w:p>
        </w:tc>
      </w:tr>
      <w:tr>
        <w:trPr>
          <w:trHeight w:val="309" w:hRule="exact"/>
        </w:trPr>
        <w:tc>
          <w:tcPr>
            <w:tcW w:w="3666" w:type="dxa"/>
          </w:tcPr>
          <w:p>
            <w:pPr>
              <w:pStyle w:val="TableParagraph"/>
              <w:spacing w:before="54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Factor de frictiune</w:t>
            </w:r>
          </w:p>
        </w:tc>
        <w:tc>
          <w:tcPr>
            <w:tcW w:w="972" w:type="dxa"/>
          </w:tcPr>
          <w:p>
            <w:pPr/>
          </w:p>
        </w:tc>
        <w:tc>
          <w:tcPr>
            <w:tcW w:w="1118" w:type="dxa"/>
          </w:tcPr>
          <w:p>
            <w:pPr>
              <w:pStyle w:val="TableParagraph"/>
              <w:spacing w:before="54"/>
              <w:ind w:left="0" w:right="33"/>
              <w:jc w:val="right"/>
              <w:rPr>
                <w:sz w:val="20"/>
              </w:rPr>
            </w:pPr>
            <w:r>
              <w:rPr>
                <w:sz w:val="20"/>
              </w:rPr>
              <w:t>0.036</w:t>
            </w:r>
          </w:p>
        </w:tc>
        <w:tc>
          <w:tcPr>
            <w:tcW w:w="1952" w:type="dxa"/>
            <w:gridSpan w:val="2"/>
          </w:tcPr>
          <w:p>
            <w:pPr/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1199" w:type="dxa"/>
          </w:tcPr>
          <w:p>
            <w:pPr/>
          </w:p>
        </w:tc>
      </w:tr>
      <w:tr>
        <w:trPr>
          <w:trHeight w:val="396" w:hRule="exact"/>
        </w:trPr>
        <w:tc>
          <w:tcPr>
            <w:tcW w:w="3666" w:type="dxa"/>
          </w:tcPr>
          <w:p>
            <w:pPr>
              <w:pStyle w:val="TableParagraph"/>
              <w:spacing w:before="24"/>
              <w:ind w:left="36"/>
              <w:jc w:val="lef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Pierderi de presiune liniare (m)</w:t>
            </w:r>
          </w:p>
        </w:tc>
        <w:tc>
          <w:tcPr>
            <w:tcW w:w="972" w:type="dxa"/>
          </w:tcPr>
          <w:p>
            <w:pPr/>
          </w:p>
        </w:tc>
        <w:tc>
          <w:tcPr>
            <w:tcW w:w="1118" w:type="dxa"/>
          </w:tcPr>
          <w:p>
            <w:pPr>
              <w:pStyle w:val="TableParagraph"/>
              <w:spacing w:before="24"/>
              <w:ind w:left="0" w:right="3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0.46</w:t>
            </w:r>
          </w:p>
        </w:tc>
        <w:tc>
          <w:tcPr>
            <w:tcW w:w="1952" w:type="dxa"/>
            <w:gridSpan w:val="2"/>
          </w:tcPr>
          <w:p>
            <w:pPr/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1199" w:type="dxa"/>
          </w:tcPr>
          <w:p>
            <w:pPr>
              <w:pStyle w:val="TableParagraph"/>
              <w:spacing w:before="24"/>
              <w:ind w:left="374"/>
              <w:jc w:val="lef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1.45</w:t>
            </w:r>
          </w:p>
        </w:tc>
      </w:tr>
      <w:tr>
        <w:trPr>
          <w:trHeight w:val="638" w:hRule="exact"/>
        </w:trPr>
        <w:tc>
          <w:tcPr>
            <w:tcW w:w="3666" w:type="dxa"/>
          </w:tcPr>
          <w:p>
            <w:pPr>
              <w:pStyle w:val="TableParagraph"/>
              <w:spacing w:before="140"/>
              <w:ind w:left="36"/>
              <w:jc w:val="left"/>
              <w:rPr>
                <w:b/>
                <w:sz w:val="20"/>
              </w:rPr>
            </w:pPr>
            <w:r>
              <w:rPr>
                <w:b/>
                <w:w w:val="105"/>
                <w:sz w:val="20"/>
                <w:u w:val="thick"/>
              </w:rPr>
              <w:t>Pierderile de presiune locale</w:t>
            </w:r>
          </w:p>
        </w:tc>
        <w:tc>
          <w:tcPr>
            <w:tcW w:w="972" w:type="dxa"/>
          </w:tcPr>
          <w:p>
            <w:pPr/>
          </w:p>
        </w:tc>
        <w:tc>
          <w:tcPr>
            <w:tcW w:w="1118" w:type="dxa"/>
            <w:tcBorders>
              <w:bottom w:val="single" w:sz="6" w:space="0" w:color="000000"/>
            </w:tcBorders>
          </w:tcPr>
          <w:p>
            <w:pPr/>
          </w:p>
        </w:tc>
        <w:tc>
          <w:tcPr>
            <w:tcW w:w="1952" w:type="dxa"/>
            <w:gridSpan w:val="2"/>
            <w:tcBorders>
              <w:bottom w:val="single" w:sz="6" w:space="0" w:color="000000"/>
            </w:tcBorders>
          </w:tcPr>
          <w:p>
            <w:pPr/>
          </w:p>
        </w:tc>
        <w:tc>
          <w:tcPr>
            <w:tcW w:w="754" w:type="dxa"/>
            <w:gridSpan w:val="2"/>
          </w:tcPr>
          <w:p>
            <w:pPr/>
          </w:p>
        </w:tc>
        <w:tc>
          <w:tcPr>
            <w:tcW w:w="1199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666" w:type="dxa"/>
            <w:tcBorders>
              <w:bottom w:val="single" w:sz="6" w:space="0" w:color="000000"/>
            </w:tcBorders>
          </w:tcPr>
          <w:p>
            <w:pPr/>
          </w:p>
        </w:tc>
        <w:tc>
          <w:tcPr>
            <w:tcW w:w="97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rPr>
                <w:b/>
                <w:sz w:val="20"/>
              </w:rPr>
            </w:pPr>
            <w:r>
              <w:rPr>
                <w:b/>
                <w:w w:val="103"/>
                <w:sz w:val="20"/>
              </w:rPr>
              <w:t>K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82" w:right="368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Buc.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Subtot</w:t>
            </w:r>
          </w:p>
        </w:tc>
        <w:tc>
          <w:tcPr>
            <w:tcW w:w="61" w:type="dxa"/>
            <w:tcBorders>
              <w:top w:val="single" w:sz="6" w:space="0" w:color="000000"/>
              <w:bottom w:val="single" w:sz="6" w:space="0" w:color="000000"/>
            </w:tcBorders>
          </w:tcPr>
          <w:p>
            <w:pPr/>
          </w:p>
        </w:tc>
        <w:tc>
          <w:tcPr>
            <w:tcW w:w="1892" w:type="dxa"/>
            <w:gridSpan w:val="2"/>
          </w:tcPr>
          <w:p>
            <w:pPr>
              <w:pStyle w:val="TableParagraph"/>
              <w:spacing w:before="14"/>
              <w:ind w:left="54"/>
              <w:jc w:val="lef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l K</w:t>
            </w:r>
          </w:p>
        </w:tc>
      </w:tr>
      <w:tr>
        <w:trPr>
          <w:trHeight w:val="256" w:hRule="exact"/>
        </w:trPr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Valva Inclinata</w:t>
            </w:r>
          </w:p>
        </w:tc>
        <w:tc>
          <w:tcPr>
            <w:tcW w:w="9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3"/>
                <w:sz w:val="20"/>
              </w:rPr>
              <w:t>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1199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Valva Globulara</w:t>
            </w:r>
          </w:p>
        </w:tc>
        <w:tc>
          <w:tcPr>
            <w:tcW w:w="9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7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0.05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1199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Valva Fluture</w:t>
            </w:r>
          </w:p>
        </w:tc>
        <w:tc>
          <w:tcPr>
            <w:tcW w:w="9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8"/>
              <w:rPr>
                <w:sz w:val="20"/>
              </w:rPr>
            </w:pPr>
            <w:r>
              <w:rPr>
                <w:w w:val="105"/>
                <w:sz w:val="20"/>
              </w:rPr>
              <w:t>0.6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1199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Valva de Verificare</w:t>
            </w:r>
          </w:p>
        </w:tc>
        <w:tc>
          <w:tcPr>
            <w:tcW w:w="9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9"/>
              <w:rPr>
                <w:sz w:val="20"/>
              </w:rPr>
            </w:pPr>
            <w:r>
              <w:rPr>
                <w:w w:val="105"/>
                <w:sz w:val="20"/>
              </w:rPr>
              <w:t>2.3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1199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Cot 45 Grade</w:t>
            </w:r>
          </w:p>
        </w:tc>
        <w:tc>
          <w:tcPr>
            <w:tcW w:w="9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8"/>
              <w:rPr>
                <w:sz w:val="20"/>
              </w:rPr>
            </w:pPr>
            <w:r>
              <w:rPr>
                <w:w w:val="105"/>
                <w:sz w:val="20"/>
              </w:rPr>
              <w:t>0.4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1199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Cot 90 Grade, Raza Mare</w:t>
            </w:r>
          </w:p>
        </w:tc>
        <w:tc>
          <w:tcPr>
            <w:tcW w:w="9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8"/>
              <w:rPr>
                <w:sz w:val="20"/>
              </w:rPr>
            </w:pPr>
            <w:r>
              <w:rPr>
                <w:w w:val="105"/>
                <w:sz w:val="20"/>
              </w:rPr>
              <w:t>0.6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1199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Cot 90 Grade, Standard</w:t>
            </w:r>
          </w:p>
        </w:tc>
        <w:tc>
          <w:tcPr>
            <w:tcW w:w="9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8"/>
              <w:rPr>
                <w:sz w:val="20"/>
              </w:rPr>
            </w:pPr>
            <w:r>
              <w:rPr>
                <w:w w:val="105"/>
                <w:sz w:val="20"/>
              </w:rPr>
              <w:t>0.9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9" w:right="135"/>
              <w:rPr>
                <w:sz w:val="20"/>
              </w:rPr>
            </w:pPr>
            <w:r>
              <w:rPr>
                <w:w w:val="105"/>
                <w:sz w:val="20"/>
              </w:rPr>
              <w:t>0.9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1199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Debitmetru</w:t>
            </w:r>
          </w:p>
        </w:tc>
        <w:tc>
          <w:tcPr>
            <w:tcW w:w="9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3"/>
                <w:sz w:val="20"/>
              </w:rPr>
              <w:t>7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1199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Valva Picior</w:t>
            </w:r>
          </w:p>
        </w:tc>
        <w:tc>
          <w:tcPr>
            <w:tcW w:w="9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8"/>
              <w:rPr>
                <w:sz w:val="20"/>
              </w:rPr>
            </w:pPr>
            <w:r>
              <w:rPr>
                <w:w w:val="105"/>
                <w:sz w:val="20"/>
              </w:rPr>
              <w:t>0.9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1199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Valva Plana</w:t>
            </w:r>
          </w:p>
        </w:tc>
        <w:tc>
          <w:tcPr>
            <w:tcW w:w="9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8"/>
              <w:rPr>
                <w:sz w:val="20"/>
              </w:rPr>
            </w:pPr>
            <w:r>
              <w:rPr>
                <w:w w:val="105"/>
                <w:sz w:val="20"/>
              </w:rPr>
              <w:t>0.2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1199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Robinet sferic</w:t>
            </w:r>
          </w:p>
        </w:tc>
        <w:tc>
          <w:tcPr>
            <w:tcW w:w="9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8"/>
              <w:rPr>
                <w:sz w:val="20"/>
              </w:rPr>
            </w:pPr>
            <w:r>
              <w:rPr>
                <w:w w:val="105"/>
                <w:sz w:val="20"/>
              </w:rPr>
              <w:t>0.5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9" w:right="135"/>
              <w:rPr>
                <w:sz w:val="20"/>
              </w:rPr>
            </w:pPr>
            <w:r>
              <w:rPr>
                <w:w w:val="105"/>
                <w:sz w:val="20"/>
              </w:rPr>
              <w:t>0.5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1199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Intrare Teava, orientata in jos</w:t>
            </w:r>
          </w:p>
        </w:tc>
        <w:tc>
          <w:tcPr>
            <w:tcW w:w="9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3"/>
                <w:sz w:val="20"/>
              </w:rPr>
              <w:t>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1199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Intrare Teava, Muchie Ascutita</w:t>
            </w:r>
          </w:p>
        </w:tc>
        <w:tc>
          <w:tcPr>
            <w:tcW w:w="9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8"/>
              <w:rPr>
                <w:sz w:val="20"/>
              </w:rPr>
            </w:pPr>
            <w:r>
              <w:rPr>
                <w:w w:val="105"/>
                <w:sz w:val="20"/>
              </w:rPr>
              <w:t>0.5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1199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Iesire Teava</w:t>
            </w:r>
          </w:p>
        </w:tc>
        <w:tc>
          <w:tcPr>
            <w:tcW w:w="9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3"/>
                <w:sz w:val="20"/>
              </w:rPr>
              <w:t>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1199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Teu, Standard, Curgere Dreapta</w:t>
            </w:r>
          </w:p>
        </w:tc>
        <w:tc>
          <w:tcPr>
            <w:tcW w:w="9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9"/>
              <w:rPr>
                <w:sz w:val="20"/>
              </w:rPr>
            </w:pPr>
            <w:r>
              <w:rPr>
                <w:w w:val="105"/>
                <w:sz w:val="20"/>
              </w:rPr>
              <w:t>1.8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1199" w:type="dxa"/>
          </w:tcPr>
          <w:p>
            <w:pPr/>
          </w:p>
        </w:tc>
      </w:tr>
      <w:tr>
        <w:trPr>
          <w:trHeight w:val="256" w:hRule="exact"/>
        </w:trPr>
        <w:tc>
          <w:tcPr>
            <w:tcW w:w="3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Teu, Standard, Curgere 90 Grade</w:t>
            </w:r>
          </w:p>
        </w:tc>
        <w:tc>
          <w:tcPr>
            <w:tcW w:w="9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92" w:right="379"/>
              <w:rPr>
                <w:sz w:val="20"/>
              </w:rPr>
            </w:pPr>
            <w:r>
              <w:rPr>
                <w:w w:val="105"/>
                <w:sz w:val="20"/>
              </w:rPr>
              <w:t>0.6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3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74"/>
              <w:rPr>
                <w:sz w:val="20"/>
              </w:rPr>
            </w:pPr>
            <w:r>
              <w:rPr>
                <w:w w:val="103"/>
                <w:sz w:val="20"/>
              </w:rPr>
              <w:t>0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1199" w:type="dxa"/>
          </w:tcPr>
          <w:p>
            <w:pPr/>
          </w:p>
        </w:tc>
      </w:tr>
      <w:tr>
        <w:trPr>
          <w:trHeight w:val="256" w:hRule="exact"/>
        </w:trPr>
        <w:tc>
          <w:tcPr>
            <w:tcW w:w="5756" w:type="dxa"/>
            <w:gridSpan w:val="3"/>
            <w:tcBorders>
              <w:top w:val="single" w:sz="6" w:space="0" w:color="000000"/>
            </w:tcBorders>
          </w:tcPr>
          <w:p>
            <w:pPr/>
          </w:p>
        </w:tc>
        <w:tc>
          <w:tcPr>
            <w:tcW w:w="1260" w:type="dxa"/>
            <w:tcBorders>
              <w:top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209" w:right="134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1.4</w:t>
            </w:r>
          </w:p>
        </w:tc>
        <w:tc>
          <w:tcPr>
            <w:tcW w:w="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693" w:type="dxa"/>
            <w:tcBorders>
              <w:left w:val="single" w:sz="6" w:space="0" w:color="000000"/>
            </w:tcBorders>
          </w:tcPr>
          <w:p>
            <w:pPr/>
          </w:p>
        </w:tc>
        <w:tc>
          <w:tcPr>
            <w:tcW w:w="1199" w:type="dxa"/>
          </w:tcPr>
          <w:p>
            <w:pPr/>
          </w:p>
        </w:tc>
      </w:tr>
      <w:tr>
        <w:trPr>
          <w:trHeight w:val="268" w:hRule="exact"/>
        </w:trPr>
        <w:tc>
          <w:tcPr>
            <w:tcW w:w="3666" w:type="dxa"/>
          </w:tcPr>
          <w:p>
            <w:pPr>
              <w:pStyle w:val="TableParagraph"/>
              <w:spacing w:before="14"/>
              <w:ind w:left="36"/>
              <w:jc w:val="lef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Pierderi de Presiune Locale (m)</w:t>
            </w:r>
          </w:p>
        </w:tc>
        <w:tc>
          <w:tcPr>
            <w:tcW w:w="2090" w:type="dxa"/>
            <w:gridSpan w:val="2"/>
          </w:tcPr>
          <w:p>
            <w:pPr>
              <w:pStyle w:val="TableParagraph"/>
              <w:spacing w:before="14"/>
              <w:ind w:left="0" w:right="3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1.00</w:t>
            </w:r>
          </w:p>
        </w:tc>
        <w:tc>
          <w:tcPr>
            <w:tcW w:w="3905" w:type="dxa"/>
            <w:gridSpan w:val="5"/>
          </w:tcPr>
          <w:p>
            <w:pPr/>
          </w:p>
        </w:tc>
      </w:tr>
      <w:tr>
        <w:trPr>
          <w:trHeight w:val="254" w:hRule="exact"/>
        </w:trPr>
        <w:tc>
          <w:tcPr>
            <w:tcW w:w="3666" w:type="dxa"/>
          </w:tcPr>
          <w:p>
            <w:pPr>
              <w:pStyle w:val="TableParagraph"/>
              <w:spacing w:before="22"/>
              <w:ind w:left="36"/>
              <w:jc w:val="left"/>
              <w:rPr>
                <w:b/>
                <w:sz w:val="20"/>
              </w:rPr>
            </w:pPr>
            <w:r>
              <w:rPr>
                <w:b/>
                <w:w w:val="105"/>
                <w:sz w:val="20"/>
              </w:rPr>
              <w:t>Pierderi de presiune pe duza [bar]</w:t>
            </w:r>
          </w:p>
        </w:tc>
        <w:tc>
          <w:tcPr>
            <w:tcW w:w="2090" w:type="dxa"/>
            <w:gridSpan w:val="2"/>
          </w:tcPr>
          <w:p>
            <w:pPr>
              <w:pStyle w:val="TableParagraph"/>
              <w:spacing w:before="22"/>
              <w:ind w:left="0" w:right="3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0.40</w:t>
            </w:r>
          </w:p>
        </w:tc>
        <w:tc>
          <w:tcPr>
            <w:tcW w:w="3905" w:type="dxa"/>
            <w:gridSpan w:val="5"/>
          </w:tcPr>
          <w:p>
            <w:pPr>
              <w:pStyle w:val="TableParagraph"/>
              <w:tabs>
                <w:tab w:pos="2964" w:val="left" w:leader="none"/>
              </w:tabs>
              <w:spacing w:before="22"/>
              <w:ind w:left="2048"/>
              <w:jc w:val="left"/>
              <w:rPr>
                <w:sz w:val="20"/>
              </w:rPr>
            </w:pPr>
            <w:r>
              <w:rPr>
                <w:b/>
                <w:w w:val="105"/>
                <w:sz w:val="20"/>
              </w:rPr>
              <w:t>TOTAL</w:t>
              <w:tab/>
              <w:t>0.543</w:t>
            </w:r>
            <w:r>
              <w:rPr>
                <w:b/>
                <w:spacing w:val="-5"/>
                <w:w w:val="105"/>
                <w:sz w:val="20"/>
              </w:rPr>
              <w:t> </w:t>
            </w:r>
            <w:r>
              <w:rPr>
                <w:w w:val="105"/>
                <w:sz w:val="20"/>
              </w:rPr>
              <w:t>bar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344.079803pt;margin-top:254.7603pt;width:131.2pt;height:4.45pt;mso-position-horizontal-relative:page;mso-position-vertical-relative:page;z-index:-16624" coordorigin="6882,5095" coordsize="2624,89" path="m9416,5095l9416,5132,9431,5132,9431,5147,9416,5147,9416,5184,9491,5147,9431,5147,9491,5147,9505,5140,9416,5095xm9416,5132l9416,5147,9431,5147,9431,5132,9416,5132xm6882,5127l6882,5142,9416,5147,9416,5132,6882,5127xe" filled="true" fillcolor="#000000" stroked="false">
            <v:path arrowok="t"/>
            <v:fill type="solid"/>
            <w10:wrap type="none"/>
          </v:shape>
        </w:pict>
      </w:r>
      <w:r>
        <w:rPr/>
        <w:pict>
          <v:group style="position:absolute;margin-left:351.659698pt;margin-top:261.400238pt;width:149.15pt;height:277.150pt;mso-position-horizontal-relative:page;mso-position-vertical-relative:page;z-index:-16576" coordorigin="7033,5228" coordsize="2983,5543">
            <v:shape style="position:absolute;left:7033;top:5228;width:2983;height:5543" coordorigin="7033,5228" coordsize="2983,5543" path="m9896,10726l9882,10719,9807,10682,9807,10719,7033,10719,7033,10734,9807,10734,9807,10771,9881,10734,9896,10726m10016,5317l10009,5302,9972,5228,9927,5317,9964,5317,9964,10722,9979,10722,9979,5317,10016,5317e" filled="true" fillcolor="#000000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8795;top:6018;width:136;height:23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w w:val="103"/>
                        <w:sz w:val="20"/>
                      </w:rPr>
                      <w:t>a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348.859894pt;margin-top:547.64032pt;width:89.55pt;height:4.45pt;mso-position-horizontal-relative:page;mso-position-vertical-relative:page;z-index:-16552" coordorigin="6977,10953" coordsize="1791,89" path="m8680,10953l8679,10990,8694,10990,8694,11005,8679,11005,8679,11042,8753,11005,8694,11005,8753,11005,8768,10997,8680,10953xm8679,10990l8679,11005,8694,11005,8694,10990,8679,10990xm6978,10986l6977,11000,8679,11005,8679,10990,6978,10986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507.339691pt;margin-top:263.700104pt;width:4.45pt;height:271.850pt;mso-position-horizontal-relative:page;mso-position-vertical-relative:page;z-index:-16528" coordorigin="10147,5274" coordsize="89,5437" path="m10147,10622l10190,10711,10228,10637,10198,10637,10184,10637,10184,10622,10147,10622xm10184,10622l10184,10637,10198,10637,10198,10622,10184,10622xm10198,10622l10198,10637,10228,10637,10236,10622,10198,10622xm10217,5274l10184,10622,10198,10622,10232,5274,10217,5274xe" filled="true" fillcolor="#000000" stroked="false">
            <v:path arrowok="t"/>
            <v:fill type="solid"/>
            <w10:wrap type="none"/>
          </v:shape>
        </w:pict>
      </w:r>
    </w:p>
    <w:sectPr>
      <w:type w:val="continuous"/>
      <w:pgSz w:w="12240" w:h="15840"/>
      <w:pgMar w:top="1500" w:bottom="280" w:left="960" w:right="13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7"/>
      <w:ind w:left="28"/>
      <w:jc w:val="center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cici</dc:creator>
  <dc:title>Calcul pierderi de presiune.xlsx</dc:title>
  <dcterms:created xsi:type="dcterms:W3CDTF">2019-08-19T14:59:46Z</dcterms:created>
  <dcterms:modified xsi:type="dcterms:W3CDTF">2019-08-19T14:59:46Z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2019-04-29T00:00:00Z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2019-08-19T00:00:00Z</vt:filetime>
  </property>
</Properties>
</file>